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8CB0A" w14:textId="77777777" w:rsidR="008D21B1" w:rsidRDefault="00003843">
      <w:pPr>
        <w:jc w:val="center"/>
        <w:rPr>
          <w:b/>
          <w:caps/>
          <w:sz w:val="28"/>
          <w:lang w:eastAsia="ar-SA"/>
        </w:rPr>
      </w:pPr>
      <w:r>
        <w:rPr>
          <w:b/>
          <w:caps/>
          <w:sz w:val="28"/>
          <w:lang w:eastAsia="ar-SA"/>
        </w:rPr>
        <w:t>SKUODO rajono savivaldybės taryba</w:t>
      </w:r>
    </w:p>
    <w:p w14:paraId="2338CB0B" w14:textId="77777777" w:rsidR="008D21B1" w:rsidRDefault="008D21B1">
      <w:pPr>
        <w:rPr>
          <w:caps/>
          <w:szCs w:val="24"/>
        </w:rPr>
      </w:pPr>
    </w:p>
    <w:p w14:paraId="2338CB0C" w14:textId="77777777" w:rsidR="008D21B1" w:rsidRDefault="00003843">
      <w:pPr>
        <w:jc w:val="center"/>
        <w:rPr>
          <w:b/>
        </w:rPr>
      </w:pPr>
      <w:r>
        <w:rPr>
          <w:b/>
        </w:rPr>
        <w:t>SPRENDIMAS</w:t>
      </w:r>
    </w:p>
    <w:p w14:paraId="74893C3A" w14:textId="6B44A8BE" w:rsidR="003A551E" w:rsidRDefault="003A551E">
      <w:pPr>
        <w:jc w:val="center"/>
        <w:rPr>
          <w:b/>
          <w:bCs/>
          <w:color w:val="212529"/>
          <w:szCs w:val="24"/>
          <w:lang w:eastAsia="lt-LT"/>
        </w:rPr>
      </w:pPr>
      <w:r>
        <w:rPr>
          <w:b/>
          <w:bCs/>
          <w:color w:val="212529"/>
          <w:szCs w:val="24"/>
          <w:lang w:eastAsia="lt-LT"/>
        </w:rPr>
        <w:t>DĖL SKUODO RAJONO SAVIVALDYBĖS ILGALAIKIO MATERIALIOJO NEKILNOJAMOJO TURTO PERDAVIMO SKUODO SOCIALINIŲ PASLAUGŲ ŠEIMAI CENTRUI VALDYTI, NAUDOTI IR DISPONUOTI PATIKĖJIMO TEISE</w:t>
      </w:r>
    </w:p>
    <w:p w14:paraId="43231E97" w14:textId="77777777" w:rsidR="003A551E" w:rsidRDefault="003A551E">
      <w:pPr>
        <w:jc w:val="center"/>
        <w:rPr>
          <w:b/>
          <w:bCs/>
          <w:color w:val="212529"/>
          <w:szCs w:val="24"/>
          <w:lang w:eastAsia="lt-LT"/>
        </w:rPr>
      </w:pPr>
    </w:p>
    <w:p w14:paraId="434682A9" w14:textId="3768387D" w:rsidR="003A551E" w:rsidRDefault="003A551E">
      <w:pPr>
        <w:jc w:val="center"/>
        <w:rPr>
          <w:color w:val="00000A"/>
          <w:szCs w:val="24"/>
        </w:rPr>
      </w:pPr>
      <w:r>
        <w:rPr>
          <w:color w:val="00000A"/>
          <w:szCs w:val="24"/>
        </w:rPr>
        <w:t>2025 m. spalio 20 d. Nr. T10-217</w:t>
      </w:r>
    </w:p>
    <w:p w14:paraId="3A43F02B" w14:textId="72209352" w:rsidR="003A551E" w:rsidRDefault="003A551E">
      <w:pPr>
        <w:jc w:val="center"/>
        <w:rPr>
          <w:b/>
        </w:rPr>
      </w:pPr>
      <w:r>
        <w:rPr>
          <w:color w:val="00000A"/>
          <w:szCs w:val="24"/>
        </w:rPr>
        <w:t>Skuodas</w:t>
      </w:r>
    </w:p>
    <w:p w14:paraId="2338CB17" w14:textId="77777777" w:rsidR="008D21B1" w:rsidRDefault="008D21B1">
      <w:pPr>
        <w:spacing w:line="360" w:lineRule="auto"/>
        <w:jc w:val="both"/>
        <w:rPr>
          <w:color w:val="00000A"/>
          <w:szCs w:val="24"/>
        </w:rPr>
      </w:pPr>
    </w:p>
    <w:p w14:paraId="2338CB18" w14:textId="633991E0" w:rsidR="008D21B1" w:rsidRDefault="00003843">
      <w:pPr>
        <w:pStyle w:val="Pagrindiniotekstotrauka2"/>
        <w:shd w:val="clear" w:color="auto" w:fill="FFFFFF"/>
        <w:spacing w:after="0" w:line="240" w:lineRule="auto"/>
        <w:ind w:left="0" w:firstLine="1134"/>
        <w:jc w:val="both"/>
        <w:rPr>
          <w:color w:val="212529"/>
          <w:szCs w:val="24"/>
          <w:lang w:eastAsia="lt-LT"/>
        </w:rPr>
      </w:pPr>
      <w:r>
        <w:rPr>
          <w:color w:val="212529"/>
          <w:szCs w:val="24"/>
          <w:lang w:eastAsia="lt-LT"/>
        </w:rPr>
        <w:t xml:space="preserve">Vadovaudamasi Lietuvos Respublikos vietos savivaldos įstatymo 15 straipsnio 2 dalies 19 punktu, 63 straipsniu, Lietuvos Respublikos valstybės ir savivaldybių turto valdymo, naudojimo ir disponavimo juo įstatymo 8 straipsnio 1 dalies 2 punktu, 12 straipsnio 1 ir 2 dalimis,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papunkčiais, 7 punktu bei atsižvelgdama į Skuodo socialinių paslaugų šeimai centro direktorės Rūtos </w:t>
      </w:r>
      <w:proofErr w:type="spellStart"/>
      <w:r>
        <w:rPr>
          <w:color w:val="212529"/>
          <w:szCs w:val="24"/>
          <w:lang w:eastAsia="lt-LT"/>
        </w:rPr>
        <w:t>Razmienės</w:t>
      </w:r>
      <w:proofErr w:type="spellEnd"/>
      <w:r>
        <w:rPr>
          <w:color w:val="212529"/>
          <w:szCs w:val="24"/>
          <w:lang w:eastAsia="lt-LT"/>
        </w:rPr>
        <w:t xml:space="preserve"> 2025 m. rugsėjo 24 d. prašymą Nr. DV2-745 „Dėl garažų skyrimo“, Skuodo rajono savivaldybės taryba  </w:t>
      </w:r>
      <w:r w:rsidRPr="003A551E">
        <w:rPr>
          <w:color w:val="212529"/>
          <w:spacing w:val="40"/>
          <w:szCs w:val="24"/>
          <w:lang w:eastAsia="lt-LT"/>
        </w:rPr>
        <w:t>n</w:t>
      </w:r>
      <w:r w:rsidR="003A551E" w:rsidRPr="003A551E">
        <w:rPr>
          <w:color w:val="212529"/>
          <w:spacing w:val="40"/>
          <w:szCs w:val="24"/>
          <w:lang w:eastAsia="lt-LT"/>
        </w:rPr>
        <w:t>usprendžia</w:t>
      </w:r>
      <w:r>
        <w:rPr>
          <w:color w:val="212529"/>
          <w:szCs w:val="24"/>
          <w:lang w:eastAsia="lt-LT"/>
        </w:rPr>
        <w:t xml:space="preserve">: </w:t>
      </w:r>
    </w:p>
    <w:p w14:paraId="2338CB19" w14:textId="77777777" w:rsidR="008D21B1" w:rsidRDefault="00003843">
      <w:pPr>
        <w:pStyle w:val="Pagrindiniotekstotrauka2"/>
        <w:numPr>
          <w:ilvl w:val="0"/>
          <w:numId w:val="1"/>
        </w:numPr>
        <w:shd w:val="clear" w:color="auto" w:fill="FFFFFF"/>
        <w:tabs>
          <w:tab w:val="left" w:pos="1560"/>
        </w:tabs>
        <w:spacing w:after="0" w:line="240" w:lineRule="auto"/>
        <w:ind w:left="0" w:firstLine="1276"/>
        <w:jc w:val="both"/>
        <w:rPr>
          <w:color w:val="212529"/>
          <w:szCs w:val="24"/>
          <w:lang w:eastAsia="lt-LT"/>
        </w:rPr>
      </w:pPr>
      <w:r>
        <w:rPr>
          <w:color w:val="212529"/>
          <w:szCs w:val="24"/>
          <w:lang w:eastAsia="lt-LT"/>
        </w:rPr>
        <w:t>Perduoti Skuodo socialinių paslaugų šeimai centrui, juridinio asmens kodas</w:t>
      </w:r>
      <w:r>
        <w:t xml:space="preserve"> </w:t>
      </w:r>
      <w:r>
        <w:rPr>
          <w:color w:val="212529"/>
          <w:szCs w:val="24"/>
          <w:lang w:eastAsia="lt-LT"/>
        </w:rPr>
        <w:t xml:space="preserve">304899539, valdyti, naudoti ir disponuoti patikėjimo teise 10 metų laikotarpiui </w:t>
      </w:r>
      <w:bookmarkStart w:id="0" w:name="_Hlk185513150"/>
      <w:r>
        <w:rPr>
          <w:color w:val="212529"/>
          <w:szCs w:val="24"/>
          <w:lang w:eastAsia="lt-LT"/>
        </w:rPr>
        <w:t>Skuodo rajono savivaldybei nuosavybės teise priklausantį ilgalaikį materialųjį nekilnojamąjį turtą:</w:t>
      </w:r>
      <w:bookmarkEnd w:id="0"/>
      <w:r>
        <w:rPr>
          <w:color w:val="212529"/>
          <w:szCs w:val="24"/>
          <w:lang w:eastAsia="lt-LT"/>
        </w:rPr>
        <w:t xml:space="preserve"> </w:t>
      </w:r>
    </w:p>
    <w:p w14:paraId="2338CB1A" w14:textId="77777777" w:rsidR="008D21B1" w:rsidRDefault="00003843">
      <w:pPr>
        <w:pStyle w:val="Sraopastraipa"/>
        <w:numPr>
          <w:ilvl w:val="1"/>
          <w:numId w:val="1"/>
        </w:numPr>
        <w:shd w:val="clear" w:color="auto" w:fill="FFFFFF"/>
        <w:tabs>
          <w:tab w:val="left" w:pos="1276"/>
          <w:tab w:val="left" w:pos="1560"/>
          <w:tab w:val="left" w:pos="1843"/>
        </w:tabs>
        <w:ind w:left="0" w:firstLine="1276"/>
        <w:jc w:val="both"/>
        <w:rPr>
          <w:color w:val="212529"/>
          <w:szCs w:val="24"/>
          <w:lang w:val="lt-LT" w:eastAsia="lt-LT"/>
        </w:rPr>
      </w:pPr>
      <w:r>
        <w:rPr>
          <w:color w:val="212529"/>
          <w:szCs w:val="24"/>
          <w:lang w:val="lt-LT" w:eastAsia="lt-LT"/>
        </w:rPr>
        <w:t>19,80 kv. m negyvenamosios paskirties patalpą, unikalus Nr. 4400-5360-1000:4104, registro Nr.</w:t>
      </w:r>
      <w:r>
        <w:t xml:space="preserve"> </w:t>
      </w:r>
      <w:r>
        <w:rPr>
          <w:color w:val="212529"/>
          <w:szCs w:val="24"/>
          <w:lang w:val="lt-LT" w:eastAsia="lt-LT"/>
        </w:rPr>
        <w:t>44/2400858, daikto pagrindinė naudojimo paskirtis – garažų,  paskirties grupė – transporto, adresas: Skuodas, Vaižganto g. 4A-104, esančią pastate – garaže, unikalus Nr. 4400-6611-3888.</w:t>
      </w:r>
    </w:p>
    <w:p w14:paraId="2338CB1B" w14:textId="77777777" w:rsidR="008D21B1" w:rsidRDefault="00003843">
      <w:pPr>
        <w:pStyle w:val="Sraopastraipa"/>
        <w:numPr>
          <w:ilvl w:val="1"/>
          <w:numId w:val="1"/>
        </w:numPr>
        <w:tabs>
          <w:tab w:val="left" w:pos="1276"/>
          <w:tab w:val="left" w:pos="1418"/>
          <w:tab w:val="left" w:pos="1701"/>
        </w:tabs>
        <w:ind w:left="0" w:firstLine="1276"/>
        <w:jc w:val="both"/>
        <w:rPr>
          <w:color w:val="212529"/>
          <w:szCs w:val="24"/>
          <w:lang w:val="lt-LT" w:eastAsia="lt-LT"/>
        </w:rPr>
      </w:pPr>
      <w:r>
        <w:rPr>
          <w:color w:val="212529"/>
          <w:szCs w:val="24"/>
          <w:lang w:val="lt-LT" w:eastAsia="lt-LT"/>
        </w:rPr>
        <w:t xml:space="preserve"> 16,11 kv. m negyvenamosios paskirties patalpą, unikalus Nr. 4400-5360-1012:4105, registro Nr. 44/2400859, daikto pagrindinė naudojimo paskirtis – garažų,  paskirties grupė – transporto, adresas: Skuodas, Vaižganto g. 4A-105, esančią pastate – garaže, unikalus Nr. 4400-6611-3888.</w:t>
      </w:r>
    </w:p>
    <w:p w14:paraId="2338CB1C" w14:textId="77777777" w:rsidR="008D21B1" w:rsidRDefault="00003843">
      <w:pPr>
        <w:pStyle w:val="Sraopastraipa"/>
        <w:numPr>
          <w:ilvl w:val="1"/>
          <w:numId w:val="1"/>
        </w:numPr>
        <w:tabs>
          <w:tab w:val="left" w:pos="1701"/>
        </w:tabs>
        <w:ind w:left="0" w:firstLine="1276"/>
        <w:jc w:val="both"/>
        <w:rPr>
          <w:color w:val="212529"/>
          <w:szCs w:val="24"/>
          <w:lang w:val="lt-LT" w:eastAsia="lt-LT"/>
        </w:rPr>
      </w:pPr>
      <w:r>
        <w:rPr>
          <w:color w:val="212529"/>
          <w:szCs w:val="24"/>
          <w:lang w:val="lt-LT" w:eastAsia="lt-LT"/>
        </w:rPr>
        <w:t xml:space="preserve"> 16,11 kv. m negyvenamosios paskirties patalpą, unikalus Nr. 4400-5360-1020:4106, registro Nr. 44/2400860, daikto pagrindinė naudojimo paskirtis – garažų,  paskirties grupė – transporto, adresas: Skuodas, Vaižganto g. 4A-106, esančią pastate – garaže, unikalus Nr. 4400-6611-3888.</w:t>
      </w:r>
    </w:p>
    <w:p w14:paraId="2338CB1D" w14:textId="77777777" w:rsidR="008D21B1" w:rsidRDefault="00003843">
      <w:pPr>
        <w:pStyle w:val="Sraopastraipa"/>
        <w:numPr>
          <w:ilvl w:val="1"/>
          <w:numId w:val="1"/>
        </w:numPr>
        <w:tabs>
          <w:tab w:val="left" w:pos="1701"/>
        </w:tabs>
        <w:ind w:left="0" w:firstLine="1276"/>
        <w:jc w:val="both"/>
        <w:rPr>
          <w:color w:val="212529"/>
          <w:szCs w:val="24"/>
          <w:lang w:val="lt-LT" w:eastAsia="lt-LT"/>
        </w:rPr>
      </w:pPr>
      <w:r>
        <w:rPr>
          <w:color w:val="212529"/>
          <w:szCs w:val="24"/>
          <w:lang w:val="lt-LT" w:eastAsia="lt-LT"/>
        </w:rPr>
        <w:t>43,08 kv. m negyvenamosios paskirties patalpą, unikalus Nr. 4400-5360-0989:4102, registro Nr. 44/2400856, daikto pagrindinė naudojimo paskirtis – garažų,  paskirties grupė – transporto, adresas: Skuodas, Vaižganto g. 4A-108, esančią pastate – garaže, unikalus Nr. 4400-6611-3888.</w:t>
      </w:r>
    </w:p>
    <w:p w14:paraId="2338CB1E" w14:textId="77777777" w:rsidR="008D21B1" w:rsidRDefault="00003843">
      <w:pPr>
        <w:pStyle w:val="Sraopastraipa"/>
        <w:numPr>
          <w:ilvl w:val="0"/>
          <w:numId w:val="1"/>
        </w:numPr>
        <w:shd w:val="clear" w:color="auto" w:fill="FFFFFF"/>
        <w:tabs>
          <w:tab w:val="left" w:pos="1276"/>
          <w:tab w:val="left" w:pos="1560"/>
        </w:tabs>
        <w:ind w:left="0" w:firstLine="1276"/>
        <w:jc w:val="both"/>
        <w:rPr>
          <w:color w:val="212529"/>
          <w:szCs w:val="24"/>
          <w:lang w:val="lt-LT" w:eastAsia="lt-LT"/>
        </w:rPr>
      </w:pPr>
      <w:r>
        <w:rPr>
          <w:color w:val="212529"/>
          <w:szCs w:val="24"/>
          <w:lang w:val="lt-LT" w:eastAsia="lt-LT"/>
        </w:rPr>
        <w:t xml:space="preserve">Pavesti Skuodo rajono savivaldybės merui Stasiui Gutautui pasirašyti sprendimo 1 punkte nurodyto turto priėmimo–perdavimo aktą su Skuodo socialinių paslaugų šeimai centro direktore Rūta </w:t>
      </w:r>
      <w:proofErr w:type="spellStart"/>
      <w:r>
        <w:rPr>
          <w:color w:val="212529"/>
          <w:szCs w:val="24"/>
          <w:lang w:val="lt-LT" w:eastAsia="lt-LT"/>
        </w:rPr>
        <w:t>Razmiene</w:t>
      </w:r>
      <w:proofErr w:type="spellEnd"/>
      <w:r>
        <w:rPr>
          <w:color w:val="212529"/>
          <w:szCs w:val="24"/>
          <w:lang w:val="lt-LT" w:eastAsia="lt-LT"/>
        </w:rPr>
        <w:t xml:space="preserve"> ir visus kitus dokumentus, susijusius su šiuo pavedimu.</w:t>
      </w:r>
    </w:p>
    <w:p w14:paraId="2338CB1F" w14:textId="636D02BA" w:rsidR="008D21B1" w:rsidRDefault="00003843">
      <w:pPr>
        <w:pStyle w:val="Sraopastraipa"/>
        <w:numPr>
          <w:ilvl w:val="0"/>
          <w:numId w:val="1"/>
        </w:numPr>
        <w:shd w:val="clear" w:color="auto" w:fill="FFFFFF"/>
        <w:tabs>
          <w:tab w:val="left" w:pos="1418"/>
          <w:tab w:val="left" w:pos="1560"/>
        </w:tabs>
        <w:ind w:left="0" w:firstLine="1276"/>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338CB20" w14:textId="77777777" w:rsidR="008D21B1" w:rsidRDefault="008D21B1">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551E" w14:paraId="11684979" w14:textId="77777777" w:rsidTr="003A551E">
        <w:tc>
          <w:tcPr>
            <w:tcW w:w="4814" w:type="dxa"/>
          </w:tcPr>
          <w:p w14:paraId="7CAD3EE6" w14:textId="44E14302" w:rsidR="003A551E" w:rsidRDefault="003A551E" w:rsidP="003A551E">
            <w:pPr>
              <w:tabs>
                <w:tab w:val="left" w:pos="7044"/>
              </w:tabs>
              <w:ind w:hanging="120"/>
              <w:jc w:val="both"/>
            </w:pPr>
            <w:r>
              <w:t>Savivaldybės meras</w:t>
            </w:r>
          </w:p>
        </w:tc>
        <w:tc>
          <w:tcPr>
            <w:tcW w:w="4814" w:type="dxa"/>
          </w:tcPr>
          <w:p w14:paraId="1D52ED5A" w14:textId="77777777" w:rsidR="003A551E" w:rsidRDefault="003A551E">
            <w:pPr>
              <w:tabs>
                <w:tab w:val="left" w:pos="7044"/>
              </w:tabs>
              <w:jc w:val="both"/>
            </w:pPr>
          </w:p>
        </w:tc>
      </w:tr>
    </w:tbl>
    <w:p w14:paraId="2338CB21" w14:textId="085A352F" w:rsidR="008D21B1" w:rsidRDefault="008D21B1">
      <w:pPr>
        <w:tabs>
          <w:tab w:val="left" w:pos="7044"/>
        </w:tabs>
        <w:jc w:val="both"/>
      </w:pPr>
    </w:p>
    <w:p w14:paraId="2338CB23" w14:textId="77777777" w:rsidR="008D21B1" w:rsidRDefault="008D21B1">
      <w:pPr>
        <w:tabs>
          <w:tab w:val="left" w:pos="2784"/>
        </w:tabs>
      </w:pPr>
    </w:p>
    <w:p w14:paraId="2338CB24" w14:textId="688B106D" w:rsidR="008D21B1" w:rsidRDefault="00D37B1B">
      <w:pPr>
        <w:tabs>
          <w:tab w:val="left" w:pos="2784"/>
        </w:tabs>
      </w:pPr>
      <w:r>
        <w:t>Vygintas Pitrėnas</w:t>
      </w:r>
      <w:r w:rsidR="00003843">
        <w:t xml:space="preserve">, tel. </w:t>
      </w:r>
      <w:r>
        <w:t>(</w:t>
      </w:r>
      <w:r w:rsidR="00003843">
        <w:t>0</w:t>
      </w:r>
      <w:r w:rsidR="00DC4A50">
        <w:t> </w:t>
      </w:r>
      <w:r>
        <w:t>440</w:t>
      </w:r>
      <w:r w:rsidR="00DC4A50">
        <w:t>)</w:t>
      </w:r>
      <w:r w:rsidR="00003843">
        <w:t> </w:t>
      </w:r>
      <w:r>
        <w:t>45 557</w:t>
      </w:r>
    </w:p>
    <w:p w14:paraId="2338CB25" w14:textId="77777777" w:rsidR="008D21B1" w:rsidRDefault="008D21B1">
      <w:pPr>
        <w:tabs>
          <w:tab w:val="left" w:pos="7665"/>
        </w:tabs>
        <w:spacing w:line="259" w:lineRule="auto"/>
        <w:ind w:left="6480"/>
      </w:pPr>
    </w:p>
    <w:sectPr w:rsidR="008D21B1">
      <w:headerReference w:type="even" r:id="rId7"/>
      <w:headerReference w:type="default" r:id="rId8"/>
      <w:headerReference w:type="first" r:id="rId9"/>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6C043" w14:textId="77777777" w:rsidR="00741AAF" w:rsidRDefault="00741AAF">
      <w:r>
        <w:separator/>
      </w:r>
    </w:p>
  </w:endnote>
  <w:endnote w:type="continuationSeparator" w:id="0">
    <w:p w14:paraId="2AF990DA" w14:textId="77777777" w:rsidR="00741AAF" w:rsidRDefault="0074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2ACF" w14:textId="77777777" w:rsidR="00741AAF" w:rsidRDefault="00741AAF">
      <w:r>
        <w:separator/>
      </w:r>
    </w:p>
  </w:footnote>
  <w:footnote w:type="continuationSeparator" w:id="0">
    <w:p w14:paraId="0CD905D4" w14:textId="77777777" w:rsidR="00741AAF" w:rsidRDefault="00741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8CB2A" w14:textId="77777777" w:rsidR="008D21B1" w:rsidRDefault="008D21B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8CB2B" w14:textId="77777777" w:rsidR="008D21B1" w:rsidRDefault="008D21B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8CB2C" w14:textId="77777777" w:rsidR="008D21B1" w:rsidRDefault="00003843">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9305B"/>
    <w:multiLevelType w:val="multilevel"/>
    <w:tmpl w:val="86B696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8843A0"/>
    <w:multiLevelType w:val="multilevel"/>
    <w:tmpl w:val="3D2A05DC"/>
    <w:lvl w:ilvl="0">
      <w:start w:val="1"/>
      <w:numFmt w:val="decimal"/>
      <w:lvlText w:val="%1."/>
      <w:lvlJc w:val="left"/>
      <w:pPr>
        <w:tabs>
          <w:tab w:val="num" w:pos="0"/>
        </w:tabs>
        <w:ind w:left="1636" w:hanging="360"/>
      </w:pPr>
    </w:lvl>
    <w:lvl w:ilvl="1">
      <w:start w:val="1"/>
      <w:numFmt w:val="decimal"/>
      <w:isLgl/>
      <w:lvlText w:val="%1.%2."/>
      <w:lvlJc w:val="left"/>
      <w:pPr>
        <w:tabs>
          <w:tab w:val="num" w:pos="0"/>
        </w:tabs>
        <w:ind w:left="1636" w:hanging="360"/>
      </w:pPr>
    </w:lvl>
    <w:lvl w:ilvl="2">
      <w:start w:val="1"/>
      <w:numFmt w:val="decimal"/>
      <w:isLgl/>
      <w:lvlText w:val="%1.%2.%3."/>
      <w:lvlJc w:val="left"/>
      <w:pPr>
        <w:tabs>
          <w:tab w:val="num" w:pos="0"/>
        </w:tabs>
        <w:ind w:left="1996" w:hanging="720"/>
      </w:pPr>
    </w:lvl>
    <w:lvl w:ilvl="3">
      <w:start w:val="1"/>
      <w:numFmt w:val="decimal"/>
      <w:isLgl/>
      <w:lvlText w:val="%1.%2.%3.%4."/>
      <w:lvlJc w:val="left"/>
      <w:pPr>
        <w:tabs>
          <w:tab w:val="num" w:pos="0"/>
        </w:tabs>
        <w:ind w:left="1996" w:hanging="720"/>
      </w:pPr>
    </w:lvl>
    <w:lvl w:ilvl="4">
      <w:start w:val="1"/>
      <w:numFmt w:val="decimal"/>
      <w:isLgl/>
      <w:lvlText w:val="%1.%2.%3.%4.%5."/>
      <w:lvlJc w:val="left"/>
      <w:pPr>
        <w:tabs>
          <w:tab w:val="num" w:pos="0"/>
        </w:tabs>
        <w:ind w:left="2356" w:hanging="1080"/>
      </w:pPr>
    </w:lvl>
    <w:lvl w:ilvl="5">
      <w:start w:val="1"/>
      <w:numFmt w:val="decimal"/>
      <w:isLgl/>
      <w:lvlText w:val="%1.%2.%3.%4.%5.%6."/>
      <w:lvlJc w:val="left"/>
      <w:pPr>
        <w:tabs>
          <w:tab w:val="num" w:pos="0"/>
        </w:tabs>
        <w:ind w:left="2356" w:hanging="1080"/>
      </w:pPr>
    </w:lvl>
    <w:lvl w:ilvl="6">
      <w:start w:val="1"/>
      <w:numFmt w:val="decimal"/>
      <w:isLgl/>
      <w:lvlText w:val="%1.%2.%3.%4.%5.%6.%7."/>
      <w:lvlJc w:val="left"/>
      <w:pPr>
        <w:tabs>
          <w:tab w:val="num" w:pos="0"/>
        </w:tabs>
        <w:ind w:left="2716" w:hanging="1440"/>
      </w:pPr>
    </w:lvl>
    <w:lvl w:ilvl="7">
      <w:start w:val="1"/>
      <w:numFmt w:val="decimal"/>
      <w:isLgl/>
      <w:lvlText w:val="%1.%2.%3.%4.%5.%6.%7.%8."/>
      <w:lvlJc w:val="left"/>
      <w:pPr>
        <w:tabs>
          <w:tab w:val="num" w:pos="0"/>
        </w:tabs>
        <w:ind w:left="2716" w:hanging="1440"/>
      </w:pPr>
    </w:lvl>
    <w:lvl w:ilvl="8">
      <w:start w:val="1"/>
      <w:numFmt w:val="decimal"/>
      <w:isLgl/>
      <w:lvlText w:val="%1.%2.%3.%4.%5.%6.%7.%8.%9."/>
      <w:lvlJc w:val="left"/>
      <w:pPr>
        <w:tabs>
          <w:tab w:val="num" w:pos="0"/>
        </w:tabs>
        <w:ind w:left="3076" w:hanging="1800"/>
      </w:pPr>
    </w:lvl>
  </w:abstractNum>
  <w:num w:numId="1" w16cid:durableId="1776170521">
    <w:abstractNumId w:val="1"/>
  </w:num>
  <w:num w:numId="2" w16cid:durableId="181175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1B1"/>
    <w:rsid w:val="00003843"/>
    <w:rsid w:val="001075E2"/>
    <w:rsid w:val="003A551E"/>
    <w:rsid w:val="0045264B"/>
    <w:rsid w:val="006C3D26"/>
    <w:rsid w:val="0073021B"/>
    <w:rsid w:val="00741AAF"/>
    <w:rsid w:val="008D21B1"/>
    <w:rsid w:val="00D37B1B"/>
    <w:rsid w:val="00DC4A50"/>
    <w:rsid w:val="00F81D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8CB0A"/>
  <w15:docId w15:val="{05CCCF9E-A9E7-4C37-81CA-EC067F3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character" w:customStyle="1" w:styleId="Pagrindiniotekstotrauka2Diagrama">
    <w:name w:val="Pagrindinio teksto įtrauka 2 Diagrama"/>
    <w:basedOn w:val="Numatytasispastraiposriftas"/>
    <w:link w:val="Pagrindiniotekstotrauka2"/>
    <w:uiPriority w:val="99"/>
    <w:qFormat/>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200" w:line="276" w:lineRule="auto"/>
    </w:p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paragraph" w:styleId="Betarp">
    <w:name w:val="No Spacing"/>
    <w:uiPriority w:val="1"/>
    <w:qFormat/>
    <w:rPr>
      <w:rFonts w:ascii="Times New Roman" w:eastAsia="Times New Roman" w:hAnsi="Times New Roman" w:cs="Mangal"/>
      <w:sz w:val="20"/>
      <w:szCs w:val="18"/>
      <w:lang w:val="en-US" w:eastAsia="hi-IN" w:bidi="hi-IN"/>
    </w:rPr>
  </w:style>
  <w:style w:type="paragraph" w:styleId="Pataisymai">
    <w:name w:val="Revision"/>
    <w:uiPriority w:val="99"/>
    <w:semiHidden/>
    <w:qFormat/>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uiPriority w:val="99"/>
    <w:unhideWhenUsed/>
    <w:qFormat/>
    <w:pPr>
      <w:spacing w:after="120" w:line="480" w:lineRule="auto"/>
      <w:ind w:left="283"/>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2042</Words>
  <Characters>1164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dcterms:created xsi:type="dcterms:W3CDTF">2025-10-20T12:56:00Z</dcterms:created>
  <dcterms:modified xsi:type="dcterms:W3CDTF">2025-10-22T05:48:00Z</dcterms:modified>
  <dc:language>lt-LT</dc:language>
</cp:coreProperties>
</file>